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BA2166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HDW: E</w:t>
      </w:r>
      <w:r w:rsidR="00026B30" w:rsidRPr="00026B30">
        <w:rPr>
          <w:rFonts w:ascii="Arial" w:hAnsi="Arial" w:cs="Arial"/>
          <w:b/>
          <w:sz w:val="20"/>
          <w:szCs w:val="20"/>
        </w:rPr>
        <w:t>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F943F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F943F6" w:rsidRDefault="00E36A48" w:rsidP="00BA21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BA2166">
        <w:rPr>
          <w:rFonts w:ascii="Arial" w:hAnsi="Arial" w:cs="Arial"/>
          <w:sz w:val="20"/>
          <w:szCs w:val="20"/>
        </w:rPr>
        <w:t>9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2166" w:rsidRPr="00BA2166">
        <w:rPr>
          <w:rFonts w:ascii="Arial" w:hAnsi="Arial" w:cs="Arial"/>
          <w:sz w:val="20"/>
          <w:szCs w:val="20"/>
        </w:rPr>
        <w:t>Hai</w:t>
      </w:r>
      <w:proofErr w:type="spellEnd"/>
      <w:r w:rsidR="00BA2166" w:rsidRPr="00BA2166">
        <w:rPr>
          <w:rFonts w:ascii="Arial" w:hAnsi="Arial" w:cs="Arial"/>
          <w:sz w:val="20"/>
          <w:szCs w:val="20"/>
        </w:rPr>
        <w:t xml:space="preserve"> Duong Water Joint Stock Company</w:t>
      </w:r>
      <w:r w:rsidR="00BA216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2166" w:rsidTr="00BA2166"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2018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(increase)</w:t>
            </w:r>
          </w:p>
        </w:tc>
      </w:tr>
      <w:tr w:rsidR="00BA2166" w:rsidTr="00BA2166"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66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66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66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635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394" w:type="dxa"/>
          </w:tcPr>
          <w:p w:rsidR="00BA2166" w:rsidRDefault="00BA2166" w:rsidP="00BA2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1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493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492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2166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</w:tr>
    </w:tbl>
    <w:p w:rsidR="00BA2166" w:rsidRDefault="00BA2166" w:rsidP="00BA21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166" w:rsidRDefault="00BA2166" w:rsidP="00BA21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2166">
        <w:rPr>
          <w:rFonts w:ascii="Arial" w:hAnsi="Arial" w:cs="Arial"/>
          <w:sz w:val="20"/>
          <w:szCs w:val="20"/>
        </w:rPr>
        <w:t>The main reason is that in 2019, the company expanded it</w:t>
      </w:r>
      <w:r>
        <w:rPr>
          <w:rFonts w:ascii="Arial" w:hAnsi="Arial" w:cs="Arial"/>
          <w:sz w:val="20"/>
          <w:szCs w:val="20"/>
        </w:rPr>
        <w:t>s service area to provide water. T</w:t>
      </w:r>
      <w:r w:rsidRPr="00BA2166">
        <w:rPr>
          <w:rFonts w:ascii="Arial" w:hAnsi="Arial" w:cs="Arial"/>
          <w:sz w:val="20"/>
          <w:szCs w:val="20"/>
        </w:rPr>
        <w:t>he water consumption in 2019 increased compared to the water consumption in 2018, resulting in higher revenu</w:t>
      </w:r>
      <w:r>
        <w:rPr>
          <w:rFonts w:ascii="Arial" w:hAnsi="Arial" w:cs="Arial"/>
          <w:sz w:val="20"/>
          <w:szCs w:val="20"/>
        </w:rPr>
        <w:t xml:space="preserve">e in 2019 compared to revenue in 2018. </w:t>
      </w:r>
      <w:r w:rsidRPr="00BA2166">
        <w:rPr>
          <w:rFonts w:ascii="Arial" w:hAnsi="Arial" w:cs="Arial"/>
          <w:sz w:val="20"/>
          <w:szCs w:val="20"/>
        </w:rPr>
        <w:t>Although the corresponding costs also increased, the revenue increase was higher than the cost increase, resulting in a 10% increase in profit after t</w:t>
      </w:r>
      <w:r>
        <w:rPr>
          <w:rFonts w:ascii="Arial" w:hAnsi="Arial" w:cs="Arial"/>
          <w:sz w:val="20"/>
          <w:szCs w:val="20"/>
        </w:rPr>
        <w:t>ax in 2019 year on year</w:t>
      </w:r>
      <w:bookmarkStart w:id="0" w:name="_GoBack"/>
      <w:bookmarkEnd w:id="0"/>
    </w:p>
    <w:sectPr w:rsidR="00BA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A62855"/>
    <w:rsid w:val="00A81EB3"/>
    <w:rsid w:val="00AA01BA"/>
    <w:rsid w:val="00AA514E"/>
    <w:rsid w:val="00AF67BE"/>
    <w:rsid w:val="00BA2166"/>
    <w:rsid w:val="00BC5B0A"/>
    <w:rsid w:val="00C72FFB"/>
    <w:rsid w:val="00CA6F06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44</cp:revision>
  <dcterms:created xsi:type="dcterms:W3CDTF">2019-10-16T10:03:00Z</dcterms:created>
  <dcterms:modified xsi:type="dcterms:W3CDTF">2020-03-23T01:22:00Z</dcterms:modified>
</cp:coreProperties>
</file>